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 w:hAnsi="Calibri"/>
          <w:outline w:val="false"/>
          <w:color w:val="453CCC"/>
          <w:spacing w:val="0"/>
          <w:sz w:val="30"/>
        </w:rPr>
        <w:t>Hi Mark,</w:t>
      </w:r>
    </w:p>
    <w:p>
      <w:pPr>
        <w:pStyle w:val="Normal"/>
        <w:rPr/>
      </w:pPr>
      <w:r>
        <w:rPr>
          <w:rFonts w:ascii="Calibri" w:hAnsi="Calibri"/>
          <w:outline w:val="false"/>
          <w:color w:val="453CCC"/>
          <w:spacing w:val="0"/>
          <w:sz w:val="30"/>
        </w:rPr>
        <w:t> </w:t>
      </w:r>
    </w:p>
    <w:p>
      <w:pPr>
        <w:pStyle w:val="Normal"/>
        <w:rPr/>
      </w:pPr>
      <w:r>
        <w:rPr>
          <w:rFonts w:ascii="Calibri" w:hAnsi="Calibri"/>
          <w:outline w:val="false"/>
          <w:color w:val="453CCC"/>
          <w:spacing w:val="0"/>
          <w:sz w:val="30"/>
        </w:rPr>
        <w:t>Regarding submittal #11-0602 approved 105/2011; extended 4/23/2014; expired 10/5/2015; and, in response to your phone call.</w:t>
      </w:r>
    </w:p>
    <w:p>
      <w:pPr>
        <w:pStyle w:val="Normal"/>
        <w:rPr/>
      </w:pPr>
      <w:r>
        <w:rPr>
          <w:rFonts w:ascii="Calibri" w:hAnsi="Calibri"/>
          <w:outline w:val="false"/>
          <w:color w:val="453CCC"/>
          <w:spacing w:val="0"/>
          <w:sz w:val="30"/>
        </w:rPr>
        <w:t> </w:t>
      </w:r>
    </w:p>
    <w:p>
      <w:pPr>
        <w:pStyle w:val="Normal"/>
        <w:rPr/>
      </w:pPr>
      <w:r>
        <w:rPr>
          <w:rFonts w:ascii="Calibri" w:hAnsi="Calibri"/>
          <w:outline w:val="false"/>
          <w:color w:val="453CCC"/>
          <w:spacing w:val="0"/>
          <w:sz w:val="30"/>
        </w:rPr>
        <w:t>I reviewed our file and the Modified Water System Plan received on 6/3/2011.  With the passage of time, several rule changes, and new review priorities, please work with your licensed professional engineer to address the following issues to secure a 2-year approval extension.</w:t>
      </w:r>
    </w:p>
    <w:p>
      <w:pPr>
        <w:pStyle w:val="Normal"/>
        <w:rPr/>
      </w:pPr>
      <w:r>
        <w:rPr>
          <w:rFonts w:ascii="Calibri" w:hAnsi="Calibri"/>
          <w:outline w:val="false"/>
          <w:color w:val="453CCC"/>
          <w:spacing w:val="0"/>
          <w:sz w:val="30"/>
        </w:rPr>
        <w:t> </w:t>
      </w:r>
    </w:p>
    <w:p>
      <w:pPr>
        <w:pStyle w:val="Normal"/>
        <w:ind w:left="1024" w:hanging="1024"/>
        <w:rPr/>
      </w:pPr>
      <w:r>
        <w:rPr>
          <w:rFonts w:ascii="ArialMT" w:hAnsi="ArialMT"/>
          <w:outline w:val="false"/>
          <w:color w:val="453CCC"/>
          <w:spacing w:val="0"/>
          <w:sz w:val="26"/>
        </w:rPr>
        <w:t>1.</w:t>
      </w:r>
      <w:r>
        <w:rPr>
          <w:rFonts w:ascii="TimesNewRomanPSMT" w:hAnsi="TimesNewRomanPSMT"/>
          <w:outline w:val="false"/>
          <w:color w:val="453CCC"/>
          <w:spacing w:val="0"/>
          <w:sz w:val="18"/>
        </w:rPr>
        <w:t xml:space="preserve">      </w:t>
      </w:r>
      <w:r>
        <w:rPr>
          <w:rFonts w:ascii="ArialMT" w:hAnsi="ArialMT"/>
          <w:outline w:val="false"/>
          <w:color w:val="453CCC"/>
          <w:spacing w:val="0"/>
          <w:sz w:val="26"/>
        </w:rPr>
        <w:t>What is the status of Snohomish County special use permit?  Obtain “local government consistency statement” on Modified Water System Plan.</w:t>
      </w:r>
    </w:p>
    <w:p>
      <w:pPr>
        <w:pStyle w:val="Normal"/>
        <w:ind w:left="1024" w:hanging="1024"/>
        <w:rPr>
          <w:rFonts w:ascii="ArialMT" w:hAnsi="ArialMT"/>
          <w:outline w:val="false"/>
          <w:color w:val="453CCC"/>
          <w:spacing w:val="0"/>
          <w:sz w:val="26"/>
        </w:rPr>
      </w:pPr>
      <w:r>
        <w:rPr>
          <w:rFonts w:ascii="ArialMT" w:hAnsi="ArialMT"/>
          <w:outline w:val="false"/>
          <w:color w:val="453CCC"/>
          <w:spacing w:val="0"/>
          <w:sz w:val="26"/>
        </w:rPr>
      </w:r>
    </w:p>
    <w:p>
      <w:pPr>
        <w:pStyle w:val="Normal"/>
        <w:ind w:left="1024" w:hanging="1024"/>
        <w:rPr/>
      </w:pPr>
      <w:r>
        <w:rPr>
          <w:rFonts w:ascii="ArialMT" w:hAnsi="ArialMT"/>
          <w:outline w:val="false"/>
          <w:color w:val="453CCC"/>
          <w:spacing w:val="0"/>
          <w:sz w:val="26"/>
        </w:rPr>
        <w:t>2.</w:t>
      </w:r>
      <w:r>
        <w:rPr>
          <w:rFonts w:ascii="TimesNewRomanPSMT" w:hAnsi="TimesNewRomanPSMT"/>
          <w:outline w:val="false"/>
          <w:color w:val="453CCC"/>
          <w:spacing w:val="0"/>
          <w:sz w:val="18"/>
        </w:rPr>
        <w:t xml:space="preserve">      </w:t>
      </w:r>
      <w:r>
        <w:rPr>
          <w:rFonts w:ascii="ArialMT" w:hAnsi="ArialMT"/>
          <w:outline w:val="false"/>
          <w:color w:val="453CCC"/>
          <w:spacing w:val="0"/>
          <w:sz w:val="26"/>
        </w:rPr>
        <w:t>Verify with the Department of Ecology that water a water right exemption is applicable and available for the desired recreational campground use adjacent to the Stillaguamish River near Silverton.</w:t>
      </w:r>
    </w:p>
    <w:p>
      <w:pPr>
        <w:pStyle w:val="Normal"/>
        <w:ind w:left="1024" w:hanging="1024"/>
        <w:rPr>
          <w:rFonts w:ascii="ArialMT" w:hAnsi="ArialMT"/>
          <w:outline w:val="false"/>
          <w:color w:val="453CCC"/>
          <w:spacing w:val="0"/>
          <w:sz w:val="26"/>
        </w:rPr>
      </w:pPr>
      <w:r>
        <w:rPr>
          <w:rFonts w:ascii="ArialMT" w:hAnsi="ArialMT"/>
          <w:outline w:val="false"/>
          <w:color w:val="453CCC"/>
          <w:spacing w:val="0"/>
          <w:sz w:val="26"/>
        </w:rPr>
      </w:r>
    </w:p>
    <w:p>
      <w:pPr>
        <w:pStyle w:val="Normal"/>
        <w:ind w:left="1024" w:hanging="1024"/>
        <w:rPr/>
      </w:pPr>
      <w:r>
        <w:rPr>
          <w:rFonts w:ascii="ArialMT" w:hAnsi="ArialMT"/>
          <w:outline w:val="false"/>
          <w:color w:val="453CCC"/>
          <w:spacing w:val="0"/>
          <w:sz w:val="26"/>
        </w:rPr>
        <w:t>3.</w:t>
      </w:r>
      <w:r>
        <w:rPr>
          <w:rFonts w:ascii="TimesNewRomanPSMT" w:hAnsi="TimesNewRomanPSMT"/>
          <w:outline w:val="false"/>
          <w:color w:val="453CCC"/>
          <w:spacing w:val="0"/>
          <w:sz w:val="18"/>
        </w:rPr>
        <w:t xml:space="preserve">      </w:t>
      </w:r>
      <w:r>
        <w:rPr>
          <w:rFonts w:ascii="ArialMT" w:hAnsi="ArialMT"/>
          <w:outline w:val="false"/>
          <w:color w:val="453CCC"/>
          <w:spacing w:val="0"/>
          <w:sz w:val="26"/>
        </w:rPr>
        <w:t>Show the location of existing sewage dump station (1750 gal holding tank) on the water system map.  How is the sewage disposed of?  How is wash down water spill water managed / discharged to the environment?</w:t>
      </w:r>
    </w:p>
    <w:p>
      <w:pPr>
        <w:pStyle w:val="Normal"/>
        <w:ind w:left="1024" w:hanging="1024"/>
        <w:rPr>
          <w:rFonts w:ascii="ArialMT" w:hAnsi="ArialMT"/>
          <w:outline w:val="false"/>
          <w:color w:val="453CCC"/>
          <w:spacing w:val="0"/>
          <w:sz w:val="26"/>
        </w:rPr>
      </w:pPr>
      <w:r>
        <w:rPr>
          <w:rFonts w:ascii="ArialMT" w:hAnsi="ArialMT"/>
          <w:outline w:val="false"/>
          <w:color w:val="453CCC"/>
          <w:spacing w:val="0"/>
          <w:sz w:val="26"/>
        </w:rPr>
      </w:r>
    </w:p>
    <w:p>
      <w:pPr>
        <w:pStyle w:val="Normal"/>
        <w:ind w:left="1024" w:hanging="1024"/>
        <w:rPr/>
      </w:pPr>
      <w:r>
        <w:rPr>
          <w:rFonts w:ascii="ArialMT" w:hAnsi="ArialMT"/>
          <w:outline w:val="false"/>
          <w:color w:val="453CCC"/>
          <w:spacing w:val="0"/>
          <w:sz w:val="26"/>
        </w:rPr>
        <w:t>4.</w:t>
      </w:r>
      <w:r>
        <w:rPr>
          <w:rFonts w:ascii="TimesNewRomanPSMT" w:hAnsi="TimesNewRomanPSMT"/>
          <w:outline w:val="false"/>
          <w:color w:val="453CCC"/>
          <w:spacing w:val="0"/>
          <w:sz w:val="18"/>
        </w:rPr>
        <w:t xml:space="preserve">      </w:t>
      </w:r>
      <w:r>
        <w:rPr>
          <w:rFonts w:ascii="ArialMT" w:hAnsi="ArialMT"/>
          <w:outline w:val="false"/>
          <w:color w:val="453CCC"/>
          <w:spacing w:val="0"/>
          <w:sz w:val="26"/>
        </w:rPr>
        <w:t>Provide recent water quality data for coliform, nitrate, and arsenic.</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5.</w:t>
      </w:r>
      <w:r>
        <w:rPr>
          <w:rFonts w:ascii="TimesNewRomanPSMT" w:hAnsi="TimesNewRomanPSMT"/>
          <w:outline w:val="false"/>
          <w:color w:val="453CCC"/>
          <w:spacing w:val="0"/>
          <w:sz w:val="18"/>
        </w:rPr>
        <w:t xml:space="preserve">      </w:t>
      </w:r>
      <w:r>
        <w:rPr>
          <w:rFonts w:ascii="ArialMT" w:hAnsi="ArialMT"/>
          <w:outline w:val="false"/>
          <w:color w:val="453CCC"/>
          <w:spacing w:val="0"/>
          <w:sz w:val="26"/>
        </w:rPr>
        <w:t>Provide design details for storage tank hatch, vent, and overflow that meet DOH publication #331-249 and -250.</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6.</w:t>
      </w:r>
      <w:r>
        <w:rPr>
          <w:rFonts w:ascii="TimesNewRomanPSMT" w:hAnsi="TimesNewRomanPSMT"/>
          <w:outline w:val="false"/>
          <w:color w:val="453CCC"/>
          <w:spacing w:val="0"/>
          <w:sz w:val="18"/>
        </w:rPr>
        <w:t xml:space="preserve">      </w:t>
      </w:r>
      <w:r>
        <w:rPr>
          <w:rFonts w:ascii="ArialMT" w:hAnsi="ArialMT"/>
          <w:outline w:val="false"/>
          <w:color w:val="453CCC"/>
          <w:spacing w:val="0"/>
          <w:sz w:val="26"/>
        </w:rPr>
        <w:t>Verify with a certified cross connection control specialist that the supply of wash down water at the dump station (RPBA minimum) and each campsite hose bib are appropriately protected against cross connection.</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7.</w:t>
      </w:r>
      <w:r>
        <w:rPr>
          <w:rFonts w:ascii="TimesNewRomanPSMT" w:hAnsi="TimesNewRomanPSMT"/>
          <w:outline w:val="false"/>
          <w:color w:val="453CCC"/>
          <w:spacing w:val="0"/>
          <w:sz w:val="18"/>
        </w:rPr>
        <w:t xml:space="preserve">      </w:t>
      </w:r>
      <w:r>
        <w:rPr>
          <w:rFonts w:ascii="ArialMT" w:hAnsi="ArialMT"/>
          <w:outline w:val="false"/>
          <w:color w:val="453CCC"/>
          <w:spacing w:val="0"/>
          <w:sz w:val="26"/>
        </w:rPr>
        <w:t>Verify that the selected Norwesco 2,500gallon tanks are NSF certified.  Verify that the proposed building allows for sufficient room to maintain the tanks and associated plumbing.</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8.</w:t>
      </w:r>
      <w:r>
        <w:rPr>
          <w:rFonts w:ascii="TimesNewRomanPSMT" w:hAnsi="TimesNewRomanPSMT"/>
          <w:outline w:val="false"/>
          <w:color w:val="453CCC"/>
          <w:spacing w:val="0"/>
          <w:sz w:val="18"/>
        </w:rPr>
        <w:t xml:space="preserve">      </w:t>
      </w:r>
      <w:r>
        <w:rPr>
          <w:rFonts w:ascii="ArialMT" w:hAnsi="ArialMT"/>
          <w:outline w:val="false"/>
          <w:color w:val="453CCC"/>
          <w:spacing w:val="0"/>
          <w:sz w:val="26"/>
        </w:rPr>
        <w:t>The operational intent of the water system is to fill storage tanks by connecting well pump to a gas powered generator followed by distribution through distribution pipes running along the ground surface when there is insufficient ground for burial.  In the event that the water system runs dry, provide a copy of a “Boil Water” notice to be posted until the system is re-pressurized, disinfected, flushed, and satisfactory coliform samples are obtained.  Provide a Standard Operating Procedure for disinfecting the water system.</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9.</w:t>
      </w:r>
      <w:r>
        <w:rPr>
          <w:rFonts w:ascii="TimesNewRomanPSMT" w:hAnsi="TimesNewRomanPSMT"/>
          <w:outline w:val="false"/>
          <w:color w:val="453CCC"/>
          <w:spacing w:val="0"/>
          <w:sz w:val="18"/>
        </w:rPr>
        <w:t xml:space="preserve">      </w:t>
      </w:r>
      <w:r>
        <w:rPr>
          <w:rFonts w:ascii="ArialMT" w:hAnsi="ArialMT"/>
          <w:outline w:val="false"/>
          <w:color w:val="453CCC"/>
          <w:spacing w:val="0"/>
          <w:sz w:val="26"/>
        </w:rPr>
        <w:t>Update your seasonal water system start-up procedures per the Revised Total Coliform rule.  See our website for more info.  Contact Ingrid Salmon or Carol Stuckey at 253-395-6775 in our Coliform Program.</w:t>
      </w:r>
    </w:p>
    <w:p>
      <w:pPr>
        <w:pStyle w:val="Normal"/>
        <w:ind w:left="1024" w:hanging="1024"/>
        <w:rPr/>
      </w:pPr>
      <w:r>
        <w:rPr>
          <w:rFonts w:ascii="ArialMT" w:hAnsi="ArialMT"/>
          <w:outline w:val="false"/>
          <w:color w:val="453CCC"/>
          <w:spacing w:val="0"/>
          <w:sz w:val="26"/>
        </w:rPr>
        <w:t> </w:t>
      </w:r>
    </w:p>
    <w:p>
      <w:pPr>
        <w:pStyle w:val="Normal"/>
        <w:ind w:left="1024" w:hanging="1024"/>
        <w:rPr/>
      </w:pPr>
      <w:r>
        <w:rPr>
          <w:rFonts w:ascii="ArialMT" w:hAnsi="ArialMT"/>
          <w:outline w:val="false"/>
          <w:color w:val="453CCC"/>
          <w:spacing w:val="0"/>
          <w:sz w:val="26"/>
        </w:rPr>
        <w:t>10.</w:t>
      </w:r>
      <w:r>
        <w:rPr>
          <w:rFonts w:ascii="TimesNewRomanPSMT" w:hAnsi="TimesNewRomanPSMT"/>
          <w:outline w:val="false"/>
          <w:color w:val="453CCC"/>
          <w:spacing w:val="0"/>
          <w:sz w:val="18"/>
        </w:rPr>
        <w:t xml:space="preserve">   </w:t>
      </w:r>
      <w:r>
        <w:rPr>
          <w:rFonts w:ascii="ArialMT" w:hAnsi="ArialMT"/>
          <w:outline w:val="false"/>
          <w:color w:val="453CCC"/>
          <w:spacing w:val="0"/>
          <w:sz w:val="26"/>
        </w:rPr>
        <w:t>What is the revenue source for paying operating expenses at the park.  Is the revenue source sufficient to conduct routine operations and maintenance?  Is there sufficient revenue to pay for infrastructure replacement?  What happens if expenses exceed revenue?</w:t>
      </w:r>
    </w:p>
    <w:p>
      <w:pPr>
        <w:pStyle w:val="Normal"/>
        <w:rPr/>
      </w:pPr>
      <w:r>
        <w:rPr>
          <w:rFonts w:ascii="Calibri" w:hAnsi="Calibri"/>
          <w:outline w:val="false"/>
          <w:color w:val="453CCC"/>
          <w:spacing w:val="0"/>
          <w:sz w:val="30"/>
        </w:rPr>
        <w:t> </w:t>
      </w:r>
    </w:p>
    <w:p>
      <w:pPr>
        <w:pStyle w:val="Normal"/>
        <w:rPr/>
      </w:pPr>
      <w:r>
        <w:rPr>
          <w:rFonts w:ascii="Calibri" w:hAnsi="Calibri"/>
          <w:outline w:val="false"/>
          <w:color w:val="453CCC"/>
          <w:spacing w:val="0"/>
          <w:sz w:val="30"/>
        </w:rPr>
        <w:t>Please call if you have questions.</w:t>
      </w:r>
    </w:p>
    <w:p>
      <w:pPr>
        <w:pStyle w:val="Normal"/>
        <w:rPr/>
      </w:pPr>
      <w:r>
        <w:rPr>
          <w:rFonts w:ascii="Calibri" w:hAnsi="Calibri"/>
          <w:outline w:val="false"/>
          <w:color w:val="453CCC"/>
          <w:spacing w:val="0"/>
          <w:sz w:val="30"/>
        </w:rPr>
        <w:t> </w:t>
      </w:r>
    </w:p>
    <w:p>
      <w:pPr>
        <w:pStyle w:val="Normal"/>
        <w:rPr/>
      </w:pPr>
      <w:r>
        <w:rPr>
          <w:rFonts w:ascii="Calibri" w:hAnsi="Calibri"/>
          <w:outline w:val="false"/>
          <w:color w:val="453CCC"/>
          <w:spacing w:val="0"/>
          <w:sz w:val="30"/>
        </w:rPr>
        <w:t>Derek Pell, PE</w:t>
      </w:r>
    </w:p>
    <w:p>
      <w:pPr>
        <w:pStyle w:val="Normal"/>
        <w:rPr/>
      </w:pPr>
      <w:r>
        <w:rPr>
          <w:rFonts w:ascii="Calibri" w:hAnsi="Calibri"/>
          <w:outline w:val="false"/>
          <w:color w:val="453CCC"/>
          <w:spacing w:val="0"/>
          <w:sz w:val="24"/>
        </w:rPr>
        <w:t>253-395-6763  |  NW Regional Office of Drinking Water  |  WA State Dept of Health  </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ArialMT">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LibreOffice/5.0.5.2$MacOSX_X86_64 LibreOffice_project/55b006a02d247b5f7215fc6ea0fde844b30035b3</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2016-06-16T18:32:23Z</dcterms:created>
  <dc:language>en-US</dc:language>
  <dcterms:modified xsi:type="dcterms:W3CDTF">2016-06-16T18:34:00Z</dcterms:modified>
  <cp:revision>1</cp:revision>
</cp:coreProperties>
</file>